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57dca00c0ddce0faa43a3425d6a1c687b437e2"/>
    <w:p>
      <w:pPr>
        <w:pStyle w:val="Heading3"/>
      </w:pPr>
      <w:r>
        <w:t xml:space="preserve">Памятка государственного гражданского служащего об основах антикоррупционного поведения</w:t>
      </w:r>
    </w:p>
    <w:p>
      <w:pPr>
        <w:pStyle w:val="FirstParagraph"/>
      </w:pPr>
      <w:r>
        <w:t xml:space="preserve">28.07.2017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http://yaroslavsky.mos.ru/combating-corruption/methodical-materials/detail/6573285.html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combating-corruption/methodical-materials/detail/65732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combating-corruption/methodical-materials/detail/65732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2025-07-26T06:40:14Z</dcterms:created>
  <dcterms:modified xsi:type="dcterms:W3CDTF">2025-07-26T06:40:14Z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