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ec42286b4a54b896a506f229b01be0b2198608"/>
    <w:p>
      <w:pPr>
        <w:pStyle w:val="Heading3"/>
      </w:pPr>
      <w:r>
        <w:t xml:space="preserve">Памятка для государственных гражданских служащих об основных запретах, ограничениях и требованиях закона, установленных в целях противодействия коррупции.</w:t>
      </w:r>
    </w:p>
    <w:p>
      <w:pPr>
        <w:pStyle w:val="FirstParagraph"/>
      </w:pPr>
      <w:r>
        <w:t xml:space="preserve">04.02.2025</w:t>
      </w:r>
    </w:p>
    <w:p>
      <w:pPr>
        <w:pStyle w:val="BodyText"/>
      </w:pPr>
      <w:r>
        <w:drawing>
          <wp:inline>
            <wp:extent cx="5334000" cy="697993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yaroslavsky.mos.ru/www/Памятка%20для%20гос.служащих%20(1)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9799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http://yaroslavsky.mos.ru/combating-corruption/methodical-materials/detail/12792784.html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combating-corruption/methodical-materials/detail/127927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combating-corruption/methodical-materials/detail/127927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2025-07-26T17:00:18Z</dcterms:created>
  <dcterms:modified xsi:type="dcterms:W3CDTF">2025-07-26T17:00:18Z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